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5FE" w:rsidRPr="00D655FE" w:rsidRDefault="00D655FE" w:rsidP="00E77A19">
      <w:pPr>
        <w:rPr>
          <w:b/>
          <w:color w:val="000000" w:themeColor="text1"/>
          <w:sz w:val="36"/>
          <w:szCs w:val="36"/>
        </w:rPr>
      </w:pPr>
      <w:r w:rsidRPr="00D655FE">
        <w:rPr>
          <w:b/>
          <w:color w:val="000000" w:themeColor="text1"/>
          <w:sz w:val="36"/>
          <w:szCs w:val="36"/>
        </w:rPr>
        <w:t>ARROW</w:t>
      </w:r>
      <w:r w:rsidRPr="000538A6">
        <w:rPr>
          <w:b/>
          <w:color w:val="000000" w:themeColor="text1"/>
          <w:sz w:val="36"/>
          <w:szCs w:val="36"/>
          <w:vertAlign w:val="superscript"/>
        </w:rPr>
        <w:t>®</w:t>
      </w:r>
      <w:r w:rsidRPr="00D655FE">
        <w:rPr>
          <w:b/>
          <w:color w:val="000000" w:themeColor="text1"/>
          <w:sz w:val="36"/>
          <w:szCs w:val="36"/>
        </w:rPr>
        <w:t xml:space="preserve"> EZ-IO</w:t>
      </w:r>
      <w:r w:rsidR="00AE3AC4" w:rsidRPr="000538A6">
        <w:rPr>
          <w:b/>
          <w:color w:val="000000" w:themeColor="text1"/>
          <w:sz w:val="36"/>
          <w:szCs w:val="36"/>
          <w:vertAlign w:val="superscript"/>
        </w:rPr>
        <w:t>®</w:t>
      </w:r>
      <w:r w:rsidRPr="00D655FE">
        <w:rPr>
          <w:b/>
          <w:color w:val="000000" w:themeColor="text1"/>
          <w:sz w:val="36"/>
          <w:szCs w:val="36"/>
        </w:rPr>
        <w:t xml:space="preserve"> Intraosseous Vascular Access System</w:t>
      </w:r>
    </w:p>
    <w:p w:rsidR="00D655FE" w:rsidRPr="00D655FE" w:rsidRDefault="00AE3AC4" w:rsidP="00E77A19">
      <w:pPr>
        <w:rPr>
          <w:b/>
          <w:color w:val="000000" w:themeColor="text1"/>
          <w:sz w:val="28"/>
          <w:szCs w:val="28"/>
        </w:rPr>
      </w:pPr>
      <w:r>
        <w:rPr>
          <w:b/>
          <w:color w:val="000000" w:themeColor="text1"/>
          <w:sz w:val="28"/>
          <w:szCs w:val="28"/>
        </w:rPr>
        <w:t>Pain Management</w:t>
      </w:r>
    </w:p>
    <w:p w:rsidR="00D655FE" w:rsidRDefault="00D655FE" w:rsidP="00E77A19">
      <w:pPr>
        <w:rPr>
          <w:b/>
          <w:color w:val="000000" w:themeColor="text1"/>
        </w:rPr>
      </w:pPr>
    </w:p>
    <w:p w:rsidR="00D655FE" w:rsidRDefault="00D655FE" w:rsidP="00E77A19">
      <w:pPr>
        <w:rPr>
          <w:b/>
          <w:color w:val="000000" w:themeColor="text1"/>
        </w:rPr>
      </w:pPr>
    </w:p>
    <w:p w:rsidR="00B76829" w:rsidRPr="00AF125E" w:rsidRDefault="00AE3AC4" w:rsidP="00B76829">
      <w:pPr>
        <w:widowControl w:val="0"/>
        <w:autoSpaceDE w:val="0"/>
        <w:autoSpaceDN w:val="0"/>
        <w:adjustRightInd w:val="0"/>
        <w:rPr>
          <w:rFonts w:cs="Arial"/>
          <w:color w:val="000000" w:themeColor="text1"/>
          <w:szCs w:val="22"/>
        </w:rPr>
      </w:pPr>
      <w:r w:rsidRPr="00AF125E">
        <w:rPr>
          <w:rFonts w:cs="Arial"/>
          <w:b/>
          <w:bCs/>
          <w:color w:val="000000" w:themeColor="text1"/>
          <w:szCs w:val="22"/>
          <w:u w:val="single"/>
        </w:rPr>
        <w:t>Consider using a</w:t>
      </w:r>
      <w:r w:rsidR="00B76829" w:rsidRPr="00AF125E">
        <w:rPr>
          <w:rFonts w:cs="Arial"/>
          <w:b/>
          <w:bCs/>
          <w:color w:val="000000" w:themeColor="text1"/>
          <w:szCs w:val="22"/>
          <w:u w:val="single"/>
        </w:rPr>
        <w:t>nesthetic for adult patients responsive to pain</w:t>
      </w:r>
      <w:r w:rsidR="00B76829" w:rsidRPr="00AF125E">
        <w:rPr>
          <w:rFonts w:cs="Arial"/>
          <w:b/>
          <w:bCs/>
          <w:color w:val="000000" w:themeColor="text1"/>
          <w:szCs w:val="22"/>
        </w:rPr>
        <w:t>:</w:t>
      </w:r>
    </w:p>
    <w:p w:rsidR="00AF125E" w:rsidRPr="00AF125E" w:rsidRDefault="00AF125E" w:rsidP="00AF125E">
      <w:pPr>
        <w:spacing w:line="259" w:lineRule="auto"/>
        <w:rPr>
          <w:rFonts w:eastAsia="Calibri" w:cs="Arial"/>
          <w:color w:val="000000"/>
          <w:szCs w:val="22"/>
        </w:rPr>
      </w:pPr>
      <w:r w:rsidRPr="00AF125E">
        <w:rPr>
          <w:rFonts w:eastAsia="Calibri" w:cs="Arial"/>
          <w:color w:val="000000"/>
          <w:szCs w:val="22"/>
        </w:rPr>
        <w:t>Review manufacturer’s lidocaine instructions for use prior to administration and observe recommended cautions/contraindications to using 2% preservative and epinephrine free lidocaine (intravenous lidocaine)</w:t>
      </w:r>
    </w:p>
    <w:p w:rsidR="00AF125E" w:rsidRPr="00AF125E" w:rsidRDefault="00AF125E" w:rsidP="00AF125E">
      <w:pPr>
        <w:numPr>
          <w:ilvl w:val="0"/>
          <w:numId w:val="30"/>
        </w:numPr>
        <w:spacing w:line="259" w:lineRule="auto"/>
        <w:contextualSpacing/>
        <w:rPr>
          <w:rFonts w:eastAsia="Calibri" w:cs="Arial"/>
          <w:color w:val="000000"/>
          <w:szCs w:val="22"/>
        </w:rPr>
      </w:pPr>
      <w:r w:rsidRPr="00AF125E">
        <w:rPr>
          <w:rFonts w:eastAsia="Calibri" w:cs="Arial"/>
          <w:color w:val="000000"/>
          <w:szCs w:val="22"/>
        </w:rPr>
        <w:t>Confirm lidocaine dose per institutional protocol</w:t>
      </w:r>
    </w:p>
    <w:p w:rsidR="00AF125E" w:rsidRPr="00AF125E" w:rsidRDefault="00AF125E" w:rsidP="00AF125E">
      <w:pPr>
        <w:numPr>
          <w:ilvl w:val="0"/>
          <w:numId w:val="30"/>
        </w:numPr>
        <w:spacing w:line="259" w:lineRule="auto"/>
        <w:contextualSpacing/>
        <w:rPr>
          <w:rFonts w:eastAsia="Calibri" w:cs="Arial"/>
          <w:color w:val="000000"/>
          <w:szCs w:val="22"/>
        </w:rPr>
      </w:pPr>
      <w:r w:rsidRPr="00AF125E">
        <w:rPr>
          <w:rFonts w:eastAsia="Calibri" w:cs="Arial"/>
          <w:color w:val="000000"/>
          <w:szCs w:val="22"/>
        </w:rPr>
        <w:t>Prime EZ-Connect® extension set with lidocaine</w:t>
      </w:r>
    </w:p>
    <w:p w:rsidR="00AF125E" w:rsidRPr="00AF125E" w:rsidRDefault="00AF125E" w:rsidP="00AF125E">
      <w:pPr>
        <w:numPr>
          <w:ilvl w:val="1"/>
          <w:numId w:val="30"/>
        </w:numPr>
        <w:spacing w:line="259" w:lineRule="auto"/>
        <w:contextualSpacing/>
        <w:rPr>
          <w:rFonts w:eastAsia="Calibri" w:cs="Arial"/>
          <w:color w:val="000000"/>
          <w:szCs w:val="22"/>
        </w:rPr>
      </w:pPr>
      <w:r w:rsidRPr="00AF125E">
        <w:rPr>
          <w:rFonts w:eastAsia="Calibri" w:cs="Arial"/>
          <w:i/>
          <w:color w:val="000000"/>
          <w:szCs w:val="22"/>
        </w:rPr>
        <w:t>Note that the priming volume of the EZ-Connect® extension set is approximately 1.0 mL</w:t>
      </w:r>
    </w:p>
    <w:p w:rsidR="00AF125E" w:rsidRPr="00AF125E" w:rsidRDefault="00AF125E" w:rsidP="00AF125E">
      <w:pPr>
        <w:numPr>
          <w:ilvl w:val="0"/>
          <w:numId w:val="30"/>
        </w:numPr>
        <w:spacing w:line="259" w:lineRule="auto"/>
        <w:contextualSpacing/>
        <w:rPr>
          <w:rFonts w:eastAsia="Calibri" w:cs="Arial"/>
          <w:color w:val="000000"/>
          <w:szCs w:val="22"/>
        </w:rPr>
      </w:pPr>
      <w:r w:rsidRPr="00AF125E">
        <w:rPr>
          <w:rFonts w:eastAsia="Calibri" w:cs="Arial"/>
          <w:color w:val="000000"/>
          <w:szCs w:val="22"/>
        </w:rPr>
        <w:t>Slowly infuse lidocaine (typically 40 mg) IO over 120 seconds</w:t>
      </w:r>
    </w:p>
    <w:p w:rsidR="00AF125E" w:rsidRPr="00AF125E" w:rsidRDefault="00AF125E" w:rsidP="00AF125E">
      <w:pPr>
        <w:numPr>
          <w:ilvl w:val="0"/>
          <w:numId w:val="30"/>
        </w:numPr>
        <w:spacing w:line="259" w:lineRule="auto"/>
        <w:contextualSpacing/>
        <w:rPr>
          <w:rFonts w:eastAsia="Calibri" w:cs="Arial"/>
          <w:color w:val="000000"/>
          <w:szCs w:val="22"/>
        </w:rPr>
      </w:pPr>
      <w:r w:rsidRPr="00AF125E">
        <w:rPr>
          <w:rFonts w:eastAsia="Calibri" w:cs="Arial"/>
          <w:color w:val="000000"/>
          <w:szCs w:val="22"/>
        </w:rPr>
        <w:t>Allow lidocaine to dwell in IO space 60 seconds</w:t>
      </w:r>
    </w:p>
    <w:p w:rsidR="00AF125E" w:rsidRPr="00AF125E" w:rsidRDefault="00AF125E" w:rsidP="00AF125E">
      <w:pPr>
        <w:numPr>
          <w:ilvl w:val="0"/>
          <w:numId w:val="30"/>
        </w:numPr>
        <w:spacing w:line="259" w:lineRule="auto"/>
        <w:contextualSpacing/>
        <w:rPr>
          <w:rFonts w:eastAsia="Calibri" w:cs="Arial"/>
          <w:color w:val="000000"/>
          <w:szCs w:val="22"/>
        </w:rPr>
      </w:pPr>
      <w:r>
        <w:rPr>
          <w:rFonts w:eastAsia="Calibri" w:cs="Arial"/>
          <w:color w:val="000000"/>
          <w:szCs w:val="22"/>
        </w:rPr>
        <w:t>Flush with 5-</w:t>
      </w:r>
      <w:r w:rsidRPr="00AF125E">
        <w:rPr>
          <w:rFonts w:eastAsia="Calibri" w:cs="Arial"/>
          <w:color w:val="000000"/>
          <w:szCs w:val="22"/>
        </w:rPr>
        <w:t>10 mL of normal saline</w:t>
      </w:r>
    </w:p>
    <w:p w:rsidR="00AF125E" w:rsidRPr="00AF125E" w:rsidRDefault="00AF125E" w:rsidP="00AF125E">
      <w:pPr>
        <w:numPr>
          <w:ilvl w:val="0"/>
          <w:numId w:val="30"/>
        </w:numPr>
        <w:spacing w:line="259" w:lineRule="auto"/>
        <w:contextualSpacing/>
        <w:rPr>
          <w:rFonts w:eastAsia="Calibri" w:cs="Arial"/>
          <w:color w:val="000000"/>
          <w:szCs w:val="22"/>
        </w:rPr>
      </w:pPr>
      <w:r w:rsidRPr="00AF125E">
        <w:rPr>
          <w:rFonts w:eastAsia="Calibri" w:cs="Arial"/>
          <w:color w:val="000000"/>
          <w:szCs w:val="22"/>
        </w:rPr>
        <w:t>Slowly administer an additional dose of lidocaine IO (typically 20 mg) over 60 seconds</w:t>
      </w:r>
    </w:p>
    <w:p w:rsidR="00AF125E" w:rsidRPr="00AF125E" w:rsidRDefault="00AF125E" w:rsidP="00AF125E">
      <w:pPr>
        <w:numPr>
          <w:ilvl w:val="1"/>
          <w:numId w:val="30"/>
        </w:numPr>
        <w:spacing w:line="259" w:lineRule="auto"/>
        <w:contextualSpacing/>
        <w:rPr>
          <w:rFonts w:eastAsia="Calibri" w:cs="Arial"/>
          <w:i/>
          <w:color w:val="000000"/>
          <w:szCs w:val="22"/>
        </w:rPr>
      </w:pPr>
      <w:r w:rsidRPr="00AF125E">
        <w:rPr>
          <w:rFonts w:eastAsia="Calibri" w:cs="Arial"/>
          <w:i/>
          <w:color w:val="000000"/>
          <w:szCs w:val="22"/>
        </w:rPr>
        <w:t>Repeat PRN</w:t>
      </w:r>
    </w:p>
    <w:p w:rsidR="00B76829" w:rsidRPr="00AF125E" w:rsidRDefault="00AF125E" w:rsidP="00AF125E">
      <w:pPr>
        <w:widowControl w:val="0"/>
        <w:autoSpaceDE w:val="0"/>
        <w:autoSpaceDN w:val="0"/>
        <w:adjustRightInd w:val="0"/>
        <w:rPr>
          <w:rFonts w:cs="Arial"/>
          <w:color w:val="000000" w:themeColor="text1"/>
          <w:sz w:val="20"/>
        </w:rPr>
      </w:pPr>
      <w:r w:rsidRPr="00AF125E">
        <w:rPr>
          <w:rFonts w:eastAsia="Calibri" w:cs="Arial"/>
          <w:color w:val="000000"/>
          <w:szCs w:val="22"/>
        </w:rPr>
        <w:t>Consider systemic pain control for patients not responding to IO lidocaine</w:t>
      </w:r>
    </w:p>
    <w:p w:rsidR="00B76829" w:rsidRPr="00796311" w:rsidRDefault="00B76829" w:rsidP="00B76829">
      <w:pPr>
        <w:widowControl w:val="0"/>
        <w:autoSpaceDE w:val="0"/>
        <w:autoSpaceDN w:val="0"/>
        <w:adjustRightInd w:val="0"/>
        <w:rPr>
          <w:rFonts w:cs="Arial"/>
          <w:color w:val="000000" w:themeColor="text1"/>
          <w:sz w:val="20"/>
        </w:rPr>
      </w:pPr>
      <w:r w:rsidRPr="00796311">
        <w:rPr>
          <w:rFonts w:cs="Arial"/>
          <w:color w:val="000000" w:themeColor="text1"/>
          <w:sz w:val="20"/>
        </w:rPr>
        <w:t> </w:t>
      </w:r>
    </w:p>
    <w:p w:rsidR="00B76829" w:rsidRPr="00796311" w:rsidRDefault="00B76829" w:rsidP="00B76829">
      <w:pPr>
        <w:widowControl w:val="0"/>
        <w:autoSpaceDE w:val="0"/>
        <w:autoSpaceDN w:val="0"/>
        <w:adjustRightInd w:val="0"/>
        <w:rPr>
          <w:rFonts w:eastAsia="Calibri" w:cs="Arial"/>
          <w:b/>
          <w:sz w:val="20"/>
          <w:u w:val="single"/>
        </w:rPr>
      </w:pPr>
    </w:p>
    <w:p w:rsidR="00B76829" w:rsidRPr="00AF125E" w:rsidRDefault="00AE3AC4" w:rsidP="00B76829">
      <w:pPr>
        <w:widowControl w:val="0"/>
        <w:autoSpaceDE w:val="0"/>
        <w:autoSpaceDN w:val="0"/>
        <w:adjustRightInd w:val="0"/>
        <w:rPr>
          <w:rFonts w:eastAsia="Calibri" w:cs="Arial"/>
          <w:b/>
          <w:szCs w:val="22"/>
          <w:u w:val="single"/>
        </w:rPr>
      </w:pPr>
      <w:r w:rsidRPr="00AF125E">
        <w:rPr>
          <w:rFonts w:eastAsia="Calibri" w:cs="Arial"/>
          <w:b/>
          <w:szCs w:val="22"/>
          <w:u w:val="single"/>
        </w:rPr>
        <w:t>Consider using a</w:t>
      </w:r>
      <w:r w:rsidR="00B76829" w:rsidRPr="00AF125E">
        <w:rPr>
          <w:rFonts w:eastAsia="Calibri" w:cs="Arial"/>
          <w:b/>
          <w:szCs w:val="22"/>
          <w:u w:val="single"/>
        </w:rPr>
        <w:t>nesthetic for infant/child responsive to pain:</w:t>
      </w:r>
    </w:p>
    <w:p w:rsidR="00AF125E" w:rsidRPr="00AF125E" w:rsidRDefault="00AF125E" w:rsidP="00AF125E">
      <w:pPr>
        <w:spacing w:line="259" w:lineRule="auto"/>
        <w:rPr>
          <w:rFonts w:eastAsia="Calibri" w:cs="Arial"/>
          <w:color w:val="000000"/>
          <w:szCs w:val="22"/>
        </w:rPr>
      </w:pPr>
      <w:r w:rsidRPr="00AF125E">
        <w:rPr>
          <w:rFonts w:eastAsia="Calibri" w:cs="Arial"/>
          <w:color w:val="000000"/>
          <w:szCs w:val="22"/>
        </w:rPr>
        <w:t>Review manufacturer’s lidocaine instructions for use prior to administration and observe recommended cautions/contraindications to using 2% preservative and epinephrine free lidocaine (intravenous lidocaine)</w:t>
      </w:r>
    </w:p>
    <w:p w:rsidR="00AF125E" w:rsidRPr="00AF125E" w:rsidRDefault="00AF125E" w:rsidP="00AF125E">
      <w:pPr>
        <w:spacing w:line="259" w:lineRule="auto"/>
        <w:rPr>
          <w:rFonts w:eastAsia="Calibri" w:cs="Arial"/>
          <w:color w:val="000000"/>
          <w:szCs w:val="22"/>
        </w:rPr>
      </w:pP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Confirm lidocaine dose per institutional protocol</w:t>
      </w:r>
    </w:p>
    <w:p w:rsidR="00AF125E" w:rsidRPr="00AF125E" w:rsidRDefault="00AF125E" w:rsidP="00AF125E">
      <w:pPr>
        <w:spacing w:line="259" w:lineRule="auto"/>
        <w:ind w:left="720" w:firstLine="720"/>
        <w:contextualSpacing/>
        <w:rPr>
          <w:rFonts w:eastAsia="Calibri" w:cs="Arial"/>
          <w:color w:val="000000"/>
          <w:szCs w:val="22"/>
        </w:rPr>
      </w:pPr>
      <w:r w:rsidRPr="00AF125E">
        <w:rPr>
          <w:rFonts w:eastAsia="Calibri" w:cs="Arial"/>
          <w:color w:val="000000"/>
          <w:szCs w:val="22"/>
        </w:rPr>
        <w:t>Typical initial dose is 0.5 mg/kg, not to exceed 40 mg</w:t>
      </w: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Prime EZ-Connect® extension set with lidocaine</w:t>
      </w:r>
    </w:p>
    <w:p w:rsidR="00AF125E" w:rsidRPr="00AF125E" w:rsidRDefault="00AF125E" w:rsidP="00AF125E">
      <w:pPr>
        <w:numPr>
          <w:ilvl w:val="1"/>
          <w:numId w:val="31"/>
        </w:numPr>
        <w:spacing w:line="276" w:lineRule="auto"/>
        <w:contextualSpacing/>
        <w:rPr>
          <w:rFonts w:eastAsia="Calibri" w:cs="Arial"/>
          <w:i/>
          <w:color w:val="000000"/>
          <w:szCs w:val="22"/>
        </w:rPr>
      </w:pPr>
      <w:r w:rsidRPr="00AF125E">
        <w:rPr>
          <w:rFonts w:eastAsia="Calibri" w:cs="Arial"/>
          <w:i/>
          <w:color w:val="000000"/>
          <w:szCs w:val="22"/>
        </w:rPr>
        <w:t>Note that the priming volume of the EZ-Connect® extension set is approximately 1.0 mL.</w:t>
      </w:r>
    </w:p>
    <w:p w:rsidR="00AF125E" w:rsidRPr="00AF125E" w:rsidRDefault="00AF125E" w:rsidP="00AF125E">
      <w:pPr>
        <w:numPr>
          <w:ilvl w:val="1"/>
          <w:numId w:val="31"/>
        </w:numPr>
        <w:spacing w:line="276" w:lineRule="auto"/>
        <w:contextualSpacing/>
        <w:rPr>
          <w:rFonts w:eastAsia="Calibri" w:cs="Arial"/>
          <w:i/>
          <w:color w:val="000000"/>
          <w:szCs w:val="22"/>
        </w:rPr>
      </w:pPr>
      <w:r w:rsidRPr="00AF125E">
        <w:rPr>
          <w:rFonts w:eastAsia="Calibri" w:cs="Arial"/>
          <w:i/>
          <w:color w:val="000000"/>
          <w:szCs w:val="22"/>
        </w:rPr>
        <w:t>For small doses of lidocaine, consider administering by carefully attaching syringe directly to needle hub (prime EZ-Connect® extension set with normal saline).</w:t>
      </w: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Slowly infuse lidocaine IO over 120 seconds</w:t>
      </w: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Allow lidocaine to dwell in IO space 60 seconds</w:t>
      </w: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Flush with 2</w:t>
      </w:r>
      <w:r>
        <w:rPr>
          <w:rFonts w:eastAsia="Calibri" w:cs="Arial"/>
          <w:color w:val="000000"/>
          <w:szCs w:val="22"/>
        </w:rPr>
        <w:t>-</w:t>
      </w:r>
      <w:r w:rsidRPr="00AF125E">
        <w:rPr>
          <w:rFonts w:eastAsia="Calibri" w:cs="Arial"/>
          <w:color w:val="000000"/>
          <w:szCs w:val="22"/>
        </w:rPr>
        <w:t>5 mL of normal saline</w:t>
      </w:r>
    </w:p>
    <w:p w:rsidR="00AF125E" w:rsidRPr="00AF125E" w:rsidRDefault="00AF125E" w:rsidP="00AF125E">
      <w:pPr>
        <w:numPr>
          <w:ilvl w:val="0"/>
          <w:numId w:val="32"/>
        </w:numPr>
        <w:spacing w:line="259" w:lineRule="auto"/>
        <w:contextualSpacing/>
        <w:rPr>
          <w:rFonts w:eastAsia="Calibri" w:cs="Arial"/>
          <w:color w:val="000000"/>
          <w:szCs w:val="22"/>
        </w:rPr>
      </w:pPr>
      <w:r w:rsidRPr="00AF125E">
        <w:rPr>
          <w:rFonts w:eastAsia="Calibri" w:cs="Arial"/>
          <w:color w:val="000000"/>
          <w:szCs w:val="22"/>
        </w:rPr>
        <w:t>Slowly administer subsequent lidocaine (half the initial dose) IO over 60 seconds</w:t>
      </w:r>
    </w:p>
    <w:p w:rsidR="00AF125E" w:rsidRPr="00AF125E" w:rsidRDefault="00AF125E" w:rsidP="00AF125E">
      <w:pPr>
        <w:numPr>
          <w:ilvl w:val="1"/>
          <w:numId w:val="32"/>
        </w:numPr>
        <w:spacing w:line="259" w:lineRule="auto"/>
        <w:contextualSpacing/>
        <w:rPr>
          <w:rFonts w:eastAsia="Calibri" w:cs="Arial"/>
          <w:i/>
          <w:color w:val="000000"/>
          <w:szCs w:val="22"/>
        </w:rPr>
      </w:pPr>
      <w:r w:rsidRPr="00AF125E">
        <w:rPr>
          <w:rFonts w:eastAsia="Calibri" w:cs="Arial"/>
          <w:i/>
          <w:color w:val="000000"/>
          <w:szCs w:val="22"/>
        </w:rPr>
        <w:t>Repeat PRN</w:t>
      </w:r>
    </w:p>
    <w:p w:rsidR="003B359B" w:rsidRPr="00AF125E" w:rsidRDefault="00AF125E" w:rsidP="00AF125E">
      <w:pPr>
        <w:widowControl w:val="0"/>
        <w:tabs>
          <w:tab w:val="left" w:pos="220"/>
          <w:tab w:val="left" w:pos="720"/>
        </w:tabs>
        <w:autoSpaceDE w:val="0"/>
        <w:autoSpaceDN w:val="0"/>
        <w:adjustRightInd w:val="0"/>
        <w:rPr>
          <w:rFonts w:cs="Arial"/>
          <w:color w:val="000000" w:themeColor="text1"/>
          <w:sz w:val="20"/>
        </w:rPr>
      </w:pPr>
      <w:r w:rsidRPr="00AF125E">
        <w:rPr>
          <w:rFonts w:eastAsia="Calibri" w:cs="Arial"/>
          <w:color w:val="000000"/>
          <w:szCs w:val="22"/>
        </w:rPr>
        <w:t>Consider systemic pain control for patients not responding to IO lidocaine</w:t>
      </w:r>
    </w:p>
    <w:p w:rsidR="003B359B" w:rsidRDefault="003B359B" w:rsidP="003B359B">
      <w:pPr>
        <w:widowControl w:val="0"/>
        <w:tabs>
          <w:tab w:val="left" w:pos="220"/>
          <w:tab w:val="left" w:pos="720"/>
        </w:tabs>
        <w:autoSpaceDE w:val="0"/>
        <w:autoSpaceDN w:val="0"/>
        <w:adjustRightInd w:val="0"/>
        <w:rPr>
          <w:rFonts w:cs="Arial"/>
          <w:color w:val="000000" w:themeColor="text1"/>
          <w:sz w:val="20"/>
        </w:rPr>
      </w:pPr>
      <w:bookmarkStart w:id="0" w:name="_GoBack"/>
      <w:bookmarkEnd w:id="0"/>
    </w:p>
    <w:p w:rsidR="00AF125E" w:rsidRDefault="00AF125E" w:rsidP="003B359B">
      <w:pPr>
        <w:widowControl w:val="0"/>
        <w:tabs>
          <w:tab w:val="left" w:pos="220"/>
          <w:tab w:val="left" w:pos="720"/>
        </w:tabs>
        <w:autoSpaceDE w:val="0"/>
        <w:autoSpaceDN w:val="0"/>
        <w:adjustRightInd w:val="0"/>
        <w:rPr>
          <w:rFonts w:cs="Arial"/>
          <w:color w:val="000000" w:themeColor="text1"/>
          <w:sz w:val="20"/>
        </w:rPr>
      </w:pPr>
    </w:p>
    <w:p w:rsidR="003B359B" w:rsidRPr="00AF125E" w:rsidRDefault="003B359B" w:rsidP="00AF125E">
      <w:pPr>
        <w:widowControl w:val="0"/>
        <w:tabs>
          <w:tab w:val="left" w:pos="220"/>
          <w:tab w:val="left" w:pos="720"/>
        </w:tabs>
        <w:autoSpaceDE w:val="0"/>
        <w:autoSpaceDN w:val="0"/>
        <w:adjustRightInd w:val="0"/>
        <w:jc w:val="right"/>
        <w:rPr>
          <w:rFonts w:cs="Arial"/>
          <w:color w:val="000000" w:themeColor="text1"/>
          <w:sz w:val="16"/>
          <w:szCs w:val="16"/>
        </w:rPr>
      </w:pPr>
      <w:r w:rsidRPr="00AF125E">
        <w:rPr>
          <w:rFonts w:cs="Arial"/>
          <w:color w:val="000000" w:themeColor="text1"/>
          <w:sz w:val="16"/>
          <w:szCs w:val="16"/>
        </w:rPr>
        <w:t>(Cont’d on page 2)</w:t>
      </w: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AF125E" w:rsidP="00B76829">
      <w:pPr>
        <w:widowControl w:val="0"/>
        <w:tabs>
          <w:tab w:val="left" w:pos="220"/>
          <w:tab w:val="left" w:pos="720"/>
        </w:tabs>
        <w:autoSpaceDE w:val="0"/>
        <w:autoSpaceDN w:val="0"/>
        <w:adjustRightInd w:val="0"/>
        <w:rPr>
          <w:rFonts w:eastAsia="Calibri" w:cs="Arial"/>
          <w:b/>
          <w:color w:val="000000"/>
          <w:sz w:val="20"/>
        </w:rPr>
      </w:pPr>
      <w:r>
        <w:rPr>
          <w:noProof/>
        </w:rPr>
        <w:lastRenderedPageBreak/>
        <w:drawing>
          <wp:inline distT="0" distB="0" distL="0" distR="0" wp14:anchorId="3DC0CF13" wp14:editId="28D4F388">
            <wp:extent cx="8991600" cy="467461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8991600" cy="4674611"/>
                    </a:xfrm>
                    <a:prstGeom prst="rect">
                      <a:avLst/>
                    </a:prstGeom>
                  </pic:spPr>
                </pic:pic>
              </a:graphicData>
            </a:graphic>
          </wp:inline>
        </w:drawing>
      </w: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3B359B" w:rsidRDefault="003B359B" w:rsidP="00B76829">
      <w:pPr>
        <w:widowControl w:val="0"/>
        <w:tabs>
          <w:tab w:val="left" w:pos="220"/>
          <w:tab w:val="left" w:pos="720"/>
        </w:tabs>
        <w:autoSpaceDE w:val="0"/>
        <w:autoSpaceDN w:val="0"/>
        <w:adjustRightInd w:val="0"/>
        <w:rPr>
          <w:rFonts w:eastAsia="Calibri" w:cs="Arial"/>
          <w:b/>
          <w:color w:val="000000"/>
          <w:sz w:val="20"/>
        </w:rPr>
      </w:pPr>
    </w:p>
    <w:p w:rsidR="00AF125E" w:rsidRDefault="00AF125E" w:rsidP="00D655FE">
      <w:pPr>
        <w:rPr>
          <w:rFonts w:cs="Arial"/>
          <w:color w:val="000000" w:themeColor="text1"/>
          <w:kern w:val="24"/>
          <w:sz w:val="16"/>
          <w:szCs w:val="16"/>
        </w:rPr>
      </w:pPr>
    </w:p>
    <w:p w:rsidR="00AF125E" w:rsidRDefault="00AF125E" w:rsidP="00D655FE">
      <w:pPr>
        <w:rPr>
          <w:rFonts w:cs="Arial"/>
          <w:color w:val="000000" w:themeColor="text1"/>
          <w:kern w:val="24"/>
          <w:sz w:val="16"/>
          <w:szCs w:val="16"/>
        </w:rPr>
      </w:pPr>
    </w:p>
    <w:p w:rsidR="00AF125E" w:rsidRDefault="00AF125E" w:rsidP="00D655FE">
      <w:pPr>
        <w:rPr>
          <w:rFonts w:cs="Arial"/>
          <w:color w:val="000000" w:themeColor="text1"/>
          <w:kern w:val="24"/>
          <w:sz w:val="16"/>
          <w:szCs w:val="16"/>
        </w:rPr>
      </w:pPr>
    </w:p>
    <w:p w:rsidR="00B76829" w:rsidRPr="003B359B" w:rsidRDefault="00B76829" w:rsidP="00D655FE">
      <w:pPr>
        <w:rPr>
          <w:rFonts w:eastAsia="Times New Roman" w:cs="Arial"/>
          <w:sz w:val="16"/>
          <w:szCs w:val="16"/>
        </w:rPr>
      </w:pPr>
      <w:r w:rsidRPr="00B76829">
        <w:rPr>
          <w:rFonts w:cs="Arial"/>
          <w:color w:val="000000" w:themeColor="text1"/>
          <w:kern w:val="24"/>
          <w:sz w:val="16"/>
          <w:szCs w:val="16"/>
        </w:rPr>
        <w:t xml:space="preserve">The use of any medication, including lidocaine, given IV or IO is the responsibility of the treating physician, medical director or qualified prescriber and not an official recommendation of Teleflex Incorporated and its subsidiaries. Teleflex is not the manufacturer of lidocaine, and the user should be familiar with the manufacturer’s instructions or directions for use for all indications, side-effects, contraindications, precautions and warnings of lidocaine.  Teleflex disclaims all liability for the use, application or interpretation of the use of this information in the medical treatment of any patient.  </w:t>
      </w:r>
      <w:r w:rsidR="00AE3AC4">
        <w:rPr>
          <w:rFonts w:cs="Arial"/>
          <w:i/>
          <w:iCs/>
          <w:color w:val="000000" w:themeColor="text1"/>
          <w:kern w:val="24"/>
          <w:sz w:val="16"/>
          <w:szCs w:val="16"/>
        </w:rPr>
        <w:t>F</w:t>
      </w:r>
      <w:r w:rsidRPr="00B76829">
        <w:rPr>
          <w:rFonts w:cs="Arial"/>
          <w:i/>
          <w:iCs/>
          <w:color w:val="000000" w:themeColor="text1"/>
          <w:kern w:val="24"/>
          <w:sz w:val="16"/>
          <w:szCs w:val="16"/>
        </w:rPr>
        <w:t xml:space="preserve">or additional information, please visit </w:t>
      </w:r>
      <w:hyperlink r:id="rId9" w:history="1">
        <w:r w:rsidRPr="00B76829">
          <w:rPr>
            <w:rFonts w:cs="Arial"/>
            <w:color w:val="000000" w:themeColor="text1"/>
            <w:kern w:val="24"/>
            <w:sz w:val="16"/>
            <w:szCs w:val="16"/>
            <w:u w:val="single"/>
          </w:rPr>
          <w:t>www.eziocomfort.com</w:t>
        </w:r>
      </w:hyperlink>
      <w:r w:rsidRPr="00B76829">
        <w:rPr>
          <w:rFonts w:cs="Arial"/>
          <w:i/>
          <w:iCs/>
          <w:color w:val="000000" w:themeColor="text1"/>
          <w:kern w:val="24"/>
          <w:sz w:val="16"/>
          <w:szCs w:val="16"/>
        </w:rPr>
        <w:t xml:space="preserve">  </w:t>
      </w:r>
    </w:p>
    <w:p w:rsidR="00B76829" w:rsidRDefault="00B76829" w:rsidP="00D655FE">
      <w:pPr>
        <w:rPr>
          <w:rFonts w:eastAsia="Times New Roman"/>
          <w:color w:val="010101"/>
          <w:sz w:val="16"/>
          <w:szCs w:val="16"/>
        </w:rPr>
      </w:pPr>
    </w:p>
    <w:p w:rsidR="00D655FE" w:rsidRPr="00EA4F07" w:rsidRDefault="00D655FE" w:rsidP="00D655FE">
      <w:pPr>
        <w:rPr>
          <w:rFonts w:ascii="Tahoma" w:eastAsia="Times New Roman" w:hAnsi="Tahoma" w:cs="Tahoma"/>
          <w:color w:val="000000"/>
          <w:sz w:val="16"/>
          <w:szCs w:val="16"/>
        </w:rPr>
      </w:pPr>
      <w:r w:rsidRPr="00EA4F07">
        <w:rPr>
          <w:rFonts w:eastAsia="Times New Roman"/>
          <w:color w:val="010101"/>
          <w:sz w:val="16"/>
          <w:szCs w:val="16"/>
        </w:rPr>
        <w:t xml:space="preserve">Teleflex, </w:t>
      </w:r>
      <w:r>
        <w:rPr>
          <w:rFonts w:eastAsia="Times New Roman"/>
          <w:color w:val="010101"/>
          <w:sz w:val="16"/>
          <w:szCs w:val="16"/>
        </w:rPr>
        <w:t xml:space="preserve">Arrow, </w:t>
      </w:r>
      <w:r w:rsidR="000538A6">
        <w:rPr>
          <w:rFonts w:eastAsia="Times New Roman"/>
          <w:color w:val="010101"/>
          <w:sz w:val="16"/>
          <w:szCs w:val="16"/>
        </w:rPr>
        <w:t>EZ-Connect</w:t>
      </w:r>
      <w:r w:rsidRPr="00C47A07">
        <w:rPr>
          <w:rFonts w:eastAsia="Times New Roman"/>
          <w:color w:val="010101"/>
          <w:sz w:val="16"/>
          <w:szCs w:val="16"/>
        </w:rPr>
        <w:t xml:space="preserve">, </w:t>
      </w:r>
      <w:r>
        <w:rPr>
          <w:rFonts w:eastAsia="Times New Roman"/>
          <w:color w:val="010101"/>
          <w:sz w:val="16"/>
          <w:szCs w:val="16"/>
        </w:rPr>
        <w:t>EZ-IO,</w:t>
      </w:r>
      <w:r w:rsidRPr="00C47A07">
        <w:rPr>
          <w:rFonts w:eastAsia="Times New Roman"/>
          <w:color w:val="010101"/>
          <w:sz w:val="16"/>
          <w:szCs w:val="16"/>
        </w:rPr>
        <w:t xml:space="preserve"> </w:t>
      </w:r>
      <w:r>
        <w:rPr>
          <w:rFonts w:eastAsia="Times New Roman"/>
          <w:color w:val="010101"/>
          <w:sz w:val="16"/>
          <w:szCs w:val="16"/>
        </w:rPr>
        <w:t>and EZ-Stabilizer</w:t>
      </w:r>
      <w:r w:rsidRPr="00EA4F07">
        <w:rPr>
          <w:rFonts w:eastAsia="Times New Roman"/>
          <w:color w:val="010101"/>
          <w:sz w:val="16"/>
          <w:szCs w:val="16"/>
        </w:rPr>
        <w:t xml:space="preserve"> are trademarks or registered trademarks of </w:t>
      </w:r>
      <w:r>
        <w:rPr>
          <w:rFonts w:eastAsia="Times New Roman"/>
          <w:color w:val="010101"/>
          <w:sz w:val="16"/>
          <w:szCs w:val="16"/>
        </w:rPr>
        <w:br/>
      </w:r>
      <w:r w:rsidRPr="00EA4F07">
        <w:rPr>
          <w:rFonts w:eastAsia="Times New Roman"/>
          <w:color w:val="010101"/>
          <w:sz w:val="16"/>
          <w:szCs w:val="16"/>
        </w:rPr>
        <w:t>Teleflex Incorporated or its affiliates.</w:t>
      </w:r>
    </w:p>
    <w:p w:rsidR="00D655FE" w:rsidRPr="00055A0B" w:rsidRDefault="00D655FE" w:rsidP="00D655FE">
      <w:r w:rsidRPr="00EA4F07">
        <w:rPr>
          <w:rFonts w:eastAsia="Times New Roman"/>
          <w:color w:val="010101"/>
          <w:sz w:val="16"/>
          <w:szCs w:val="16"/>
        </w:rPr>
        <w:t>© 201</w:t>
      </w:r>
      <w:r w:rsidR="0009634E">
        <w:rPr>
          <w:rFonts w:eastAsia="Times New Roman"/>
          <w:color w:val="010101"/>
          <w:sz w:val="16"/>
          <w:szCs w:val="16"/>
        </w:rPr>
        <w:t>5</w:t>
      </w:r>
      <w:r w:rsidRPr="00EA4F07">
        <w:rPr>
          <w:rFonts w:eastAsia="Times New Roman"/>
          <w:color w:val="010101"/>
          <w:sz w:val="16"/>
          <w:szCs w:val="16"/>
        </w:rPr>
        <w:t xml:space="preserve"> Teleflex Incorporated. All rights reserved. </w:t>
      </w:r>
      <w:r>
        <w:rPr>
          <w:rFonts w:eastAsia="Times New Roman"/>
          <w:color w:val="010101"/>
          <w:sz w:val="16"/>
          <w:szCs w:val="16"/>
        </w:rPr>
        <w:t>MC-000</w:t>
      </w:r>
      <w:r w:rsidR="000538A6">
        <w:rPr>
          <w:rFonts w:eastAsia="Times New Roman"/>
          <w:color w:val="010101"/>
          <w:sz w:val="16"/>
          <w:szCs w:val="16"/>
        </w:rPr>
        <w:t>554</w:t>
      </w:r>
    </w:p>
    <w:sectPr w:rsidR="00D655FE" w:rsidRPr="00055A0B" w:rsidSect="00AF125E">
      <w:headerReference w:type="default" r:id="rId10"/>
      <w:pgSz w:w="15840" w:h="12240" w:orient="landscape"/>
      <w:pgMar w:top="720" w:right="1267" w:bottom="720" w:left="100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087" w:rsidRDefault="000E0087">
      <w:r>
        <w:separator/>
      </w:r>
    </w:p>
  </w:endnote>
  <w:endnote w:type="continuationSeparator" w:id="0">
    <w:p w:rsidR="000E0087" w:rsidRDefault="000E0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087" w:rsidRDefault="000E0087">
      <w:r>
        <w:separator/>
      </w:r>
    </w:p>
  </w:footnote>
  <w:footnote w:type="continuationSeparator" w:id="0">
    <w:p w:rsidR="000E0087" w:rsidRDefault="000E0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8A" w:rsidRDefault="00DE573B">
    <w:pPr>
      <w:pStyle w:val="Header"/>
    </w:pPr>
    <w:r>
      <w:rPr>
        <w:noProof/>
      </w:rPr>
      <w:drawing>
        <wp:anchor distT="0" distB="0" distL="114300" distR="114300" simplePos="0" relativeHeight="251657216" behindDoc="0" locked="0" layoutInCell="1" allowOverlap="1" wp14:anchorId="025A0F4A" wp14:editId="54093138">
          <wp:simplePos x="0" y="0"/>
          <wp:positionH relativeFrom="column">
            <wp:posOffset>-914400</wp:posOffset>
          </wp:positionH>
          <wp:positionV relativeFrom="page">
            <wp:posOffset>0</wp:posOffset>
          </wp:positionV>
          <wp:extent cx="571500" cy="9601200"/>
          <wp:effectExtent l="0" t="0" r="0" b="0"/>
          <wp:wrapNone/>
          <wp:docPr id="4" name="Picture 4" descr="NA_Letterhead-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_Letterhead-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601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0A566F"/>
    <w:multiLevelType w:val="hybridMultilevel"/>
    <w:tmpl w:val="35C66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5659BB"/>
    <w:multiLevelType w:val="hybridMultilevel"/>
    <w:tmpl w:val="57FE442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3DC4199"/>
    <w:multiLevelType w:val="hybridMultilevel"/>
    <w:tmpl w:val="A0EC26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AA4E50"/>
    <w:multiLevelType w:val="hybridMultilevel"/>
    <w:tmpl w:val="4E0C91B4"/>
    <w:lvl w:ilvl="0" w:tplc="103AE3C4">
      <w:start w:val="1"/>
      <w:numFmt w:val="bullet"/>
      <w:lvlText w:val=""/>
      <w:lvlJc w:val="left"/>
      <w:pPr>
        <w:tabs>
          <w:tab w:val="num" w:pos="720"/>
        </w:tabs>
        <w:ind w:left="720" w:hanging="360"/>
      </w:pPr>
      <w:rPr>
        <w:rFonts w:ascii="Symbol" w:hAnsi="Symbol" w:hint="default"/>
      </w:rPr>
    </w:lvl>
    <w:lvl w:ilvl="1" w:tplc="67E07182" w:tentative="1">
      <w:start w:val="1"/>
      <w:numFmt w:val="bullet"/>
      <w:lvlText w:val=""/>
      <w:lvlJc w:val="left"/>
      <w:pPr>
        <w:tabs>
          <w:tab w:val="num" w:pos="1440"/>
        </w:tabs>
        <w:ind w:left="1440" w:hanging="360"/>
      </w:pPr>
      <w:rPr>
        <w:rFonts w:ascii="Symbol" w:hAnsi="Symbol" w:hint="default"/>
      </w:rPr>
    </w:lvl>
    <w:lvl w:ilvl="2" w:tplc="F266BE66" w:tentative="1">
      <w:start w:val="1"/>
      <w:numFmt w:val="bullet"/>
      <w:lvlText w:val=""/>
      <w:lvlJc w:val="left"/>
      <w:pPr>
        <w:tabs>
          <w:tab w:val="num" w:pos="2160"/>
        </w:tabs>
        <w:ind w:left="2160" w:hanging="360"/>
      </w:pPr>
      <w:rPr>
        <w:rFonts w:ascii="Symbol" w:hAnsi="Symbol" w:hint="default"/>
      </w:rPr>
    </w:lvl>
    <w:lvl w:ilvl="3" w:tplc="FCF01F9A" w:tentative="1">
      <w:start w:val="1"/>
      <w:numFmt w:val="bullet"/>
      <w:lvlText w:val=""/>
      <w:lvlJc w:val="left"/>
      <w:pPr>
        <w:tabs>
          <w:tab w:val="num" w:pos="2880"/>
        </w:tabs>
        <w:ind w:left="2880" w:hanging="360"/>
      </w:pPr>
      <w:rPr>
        <w:rFonts w:ascii="Symbol" w:hAnsi="Symbol" w:hint="default"/>
      </w:rPr>
    </w:lvl>
    <w:lvl w:ilvl="4" w:tplc="BB286238" w:tentative="1">
      <w:start w:val="1"/>
      <w:numFmt w:val="bullet"/>
      <w:lvlText w:val=""/>
      <w:lvlJc w:val="left"/>
      <w:pPr>
        <w:tabs>
          <w:tab w:val="num" w:pos="3600"/>
        </w:tabs>
        <w:ind w:left="3600" w:hanging="360"/>
      </w:pPr>
      <w:rPr>
        <w:rFonts w:ascii="Symbol" w:hAnsi="Symbol" w:hint="default"/>
      </w:rPr>
    </w:lvl>
    <w:lvl w:ilvl="5" w:tplc="9E5A5E5E" w:tentative="1">
      <w:start w:val="1"/>
      <w:numFmt w:val="bullet"/>
      <w:lvlText w:val=""/>
      <w:lvlJc w:val="left"/>
      <w:pPr>
        <w:tabs>
          <w:tab w:val="num" w:pos="4320"/>
        </w:tabs>
        <w:ind w:left="4320" w:hanging="360"/>
      </w:pPr>
      <w:rPr>
        <w:rFonts w:ascii="Symbol" w:hAnsi="Symbol" w:hint="default"/>
      </w:rPr>
    </w:lvl>
    <w:lvl w:ilvl="6" w:tplc="CEB698C2" w:tentative="1">
      <w:start w:val="1"/>
      <w:numFmt w:val="bullet"/>
      <w:lvlText w:val=""/>
      <w:lvlJc w:val="left"/>
      <w:pPr>
        <w:tabs>
          <w:tab w:val="num" w:pos="5040"/>
        </w:tabs>
        <w:ind w:left="5040" w:hanging="360"/>
      </w:pPr>
      <w:rPr>
        <w:rFonts w:ascii="Symbol" w:hAnsi="Symbol" w:hint="default"/>
      </w:rPr>
    </w:lvl>
    <w:lvl w:ilvl="7" w:tplc="E9C83C0E" w:tentative="1">
      <w:start w:val="1"/>
      <w:numFmt w:val="bullet"/>
      <w:lvlText w:val=""/>
      <w:lvlJc w:val="left"/>
      <w:pPr>
        <w:tabs>
          <w:tab w:val="num" w:pos="5760"/>
        </w:tabs>
        <w:ind w:left="5760" w:hanging="360"/>
      </w:pPr>
      <w:rPr>
        <w:rFonts w:ascii="Symbol" w:hAnsi="Symbol" w:hint="default"/>
      </w:rPr>
    </w:lvl>
    <w:lvl w:ilvl="8" w:tplc="2F6A77F6" w:tentative="1">
      <w:start w:val="1"/>
      <w:numFmt w:val="bullet"/>
      <w:lvlText w:val=""/>
      <w:lvlJc w:val="left"/>
      <w:pPr>
        <w:tabs>
          <w:tab w:val="num" w:pos="6480"/>
        </w:tabs>
        <w:ind w:left="6480" w:hanging="360"/>
      </w:pPr>
      <w:rPr>
        <w:rFonts w:ascii="Symbol" w:hAnsi="Symbol" w:hint="default"/>
      </w:rPr>
    </w:lvl>
  </w:abstractNum>
  <w:abstractNum w:abstractNumId="8">
    <w:nsid w:val="07BA13BB"/>
    <w:multiLevelType w:val="hybridMultilevel"/>
    <w:tmpl w:val="3FDAED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AD00754"/>
    <w:multiLevelType w:val="hybridMultilevel"/>
    <w:tmpl w:val="A4CE0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DD5CB2"/>
    <w:multiLevelType w:val="hybridMultilevel"/>
    <w:tmpl w:val="EB6AD3F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1C44D1"/>
    <w:multiLevelType w:val="hybridMultilevel"/>
    <w:tmpl w:val="A9129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5F5B29"/>
    <w:multiLevelType w:val="hybridMultilevel"/>
    <w:tmpl w:val="F746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3F18BA"/>
    <w:multiLevelType w:val="hybridMultilevel"/>
    <w:tmpl w:val="805EF4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B22A56"/>
    <w:multiLevelType w:val="hybridMultilevel"/>
    <w:tmpl w:val="FA60E07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914F51"/>
    <w:multiLevelType w:val="hybridMultilevel"/>
    <w:tmpl w:val="2B2EDE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50300A"/>
    <w:multiLevelType w:val="hybridMultilevel"/>
    <w:tmpl w:val="3E0CCF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353801"/>
    <w:multiLevelType w:val="hybridMultilevel"/>
    <w:tmpl w:val="984AD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A80F0A"/>
    <w:multiLevelType w:val="hybridMultilevel"/>
    <w:tmpl w:val="52969BF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74756D1"/>
    <w:multiLevelType w:val="hybridMultilevel"/>
    <w:tmpl w:val="C2EC86FC"/>
    <w:lvl w:ilvl="0" w:tplc="F0E41D62">
      <w:start w:val="1"/>
      <w:numFmt w:val="bullet"/>
      <w:lvlText w:val=""/>
      <w:lvlJc w:val="left"/>
      <w:pPr>
        <w:tabs>
          <w:tab w:val="num" w:pos="720"/>
        </w:tabs>
        <w:ind w:left="720" w:hanging="360"/>
      </w:pPr>
      <w:rPr>
        <w:rFonts w:ascii="Symbol" w:hAnsi="Symbol" w:hint="default"/>
      </w:rPr>
    </w:lvl>
    <w:lvl w:ilvl="1" w:tplc="81AACF72" w:tentative="1">
      <w:start w:val="1"/>
      <w:numFmt w:val="bullet"/>
      <w:lvlText w:val=""/>
      <w:lvlJc w:val="left"/>
      <w:pPr>
        <w:tabs>
          <w:tab w:val="num" w:pos="1440"/>
        </w:tabs>
        <w:ind w:left="1440" w:hanging="360"/>
      </w:pPr>
      <w:rPr>
        <w:rFonts w:ascii="Symbol" w:hAnsi="Symbol" w:hint="default"/>
      </w:rPr>
    </w:lvl>
    <w:lvl w:ilvl="2" w:tplc="FB1E45F2" w:tentative="1">
      <w:start w:val="1"/>
      <w:numFmt w:val="bullet"/>
      <w:lvlText w:val=""/>
      <w:lvlJc w:val="left"/>
      <w:pPr>
        <w:tabs>
          <w:tab w:val="num" w:pos="2160"/>
        </w:tabs>
        <w:ind w:left="2160" w:hanging="360"/>
      </w:pPr>
      <w:rPr>
        <w:rFonts w:ascii="Symbol" w:hAnsi="Symbol" w:hint="default"/>
      </w:rPr>
    </w:lvl>
    <w:lvl w:ilvl="3" w:tplc="C554C6EC" w:tentative="1">
      <w:start w:val="1"/>
      <w:numFmt w:val="bullet"/>
      <w:lvlText w:val=""/>
      <w:lvlJc w:val="left"/>
      <w:pPr>
        <w:tabs>
          <w:tab w:val="num" w:pos="2880"/>
        </w:tabs>
        <w:ind w:left="2880" w:hanging="360"/>
      </w:pPr>
      <w:rPr>
        <w:rFonts w:ascii="Symbol" w:hAnsi="Symbol" w:hint="default"/>
      </w:rPr>
    </w:lvl>
    <w:lvl w:ilvl="4" w:tplc="EE6063C4" w:tentative="1">
      <w:start w:val="1"/>
      <w:numFmt w:val="bullet"/>
      <w:lvlText w:val=""/>
      <w:lvlJc w:val="left"/>
      <w:pPr>
        <w:tabs>
          <w:tab w:val="num" w:pos="3600"/>
        </w:tabs>
        <w:ind w:left="3600" w:hanging="360"/>
      </w:pPr>
      <w:rPr>
        <w:rFonts w:ascii="Symbol" w:hAnsi="Symbol" w:hint="default"/>
      </w:rPr>
    </w:lvl>
    <w:lvl w:ilvl="5" w:tplc="E88CFA44" w:tentative="1">
      <w:start w:val="1"/>
      <w:numFmt w:val="bullet"/>
      <w:lvlText w:val=""/>
      <w:lvlJc w:val="left"/>
      <w:pPr>
        <w:tabs>
          <w:tab w:val="num" w:pos="4320"/>
        </w:tabs>
        <w:ind w:left="4320" w:hanging="360"/>
      </w:pPr>
      <w:rPr>
        <w:rFonts w:ascii="Symbol" w:hAnsi="Symbol" w:hint="default"/>
      </w:rPr>
    </w:lvl>
    <w:lvl w:ilvl="6" w:tplc="A2762B60" w:tentative="1">
      <w:start w:val="1"/>
      <w:numFmt w:val="bullet"/>
      <w:lvlText w:val=""/>
      <w:lvlJc w:val="left"/>
      <w:pPr>
        <w:tabs>
          <w:tab w:val="num" w:pos="5040"/>
        </w:tabs>
        <w:ind w:left="5040" w:hanging="360"/>
      </w:pPr>
      <w:rPr>
        <w:rFonts w:ascii="Symbol" w:hAnsi="Symbol" w:hint="default"/>
      </w:rPr>
    </w:lvl>
    <w:lvl w:ilvl="7" w:tplc="7668E70E" w:tentative="1">
      <w:start w:val="1"/>
      <w:numFmt w:val="bullet"/>
      <w:lvlText w:val=""/>
      <w:lvlJc w:val="left"/>
      <w:pPr>
        <w:tabs>
          <w:tab w:val="num" w:pos="5760"/>
        </w:tabs>
        <w:ind w:left="5760" w:hanging="360"/>
      </w:pPr>
      <w:rPr>
        <w:rFonts w:ascii="Symbol" w:hAnsi="Symbol" w:hint="default"/>
      </w:rPr>
    </w:lvl>
    <w:lvl w:ilvl="8" w:tplc="81C6F56E" w:tentative="1">
      <w:start w:val="1"/>
      <w:numFmt w:val="bullet"/>
      <w:lvlText w:val=""/>
      <w:lvlJc w:val="left"/>
      <w:pPr>
        <w:tabs>
          <w:tab w:val="num" w:pos="6480"/>
        </w:tabs>
        <w:ind w:left="6480" w:hanging="360"/>
      </w:pPr>
      <w:rPr>
        <w:rFonts w:ascii="Symbol" w:hAnsi="Symbol" w:hint="default"/>
      </w:rPr>
    </w:lvl>
  </w:abstractNum>
  <w:abstractNum w:abstractNumId="20">
    <w:nsid w:val="3CDA33F6"/>
    <w:multiLevelType w:val="hybridMultilevel"/>
    <w:tmpl w:val="54083A2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753F9C"/>
    <w:multiLevelType w:val="hybridMultilevel"/>
    <w:tmpl w:val="E6D875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9934E8F"/>
    <w:multiLevelType w:val="hybridMultilevel"/>
    <w:tmpl w:val="13866B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D207892"/>
    <w:multiLevelType w:val="hybridMultilevel"/>
    <w:tmpl w:val="B30421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586415"/>
    <w:multiLevelType w:val="hybridMultilevel"/>
    <w:tmpl w:val="DA36E3C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8C6E90"/>
    <w:multiLevelType w:val="hybridMultilevel"/>
    <w:tmpl w:val="CBC4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D439C4"/>
    <w:multiLevelType w:val="hybridMultilevel"/>
    <w:tmpl w:val="88988E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7FF0DEF"/>
    <w:multiLevelType w:val="hybridMultilevel"/>
    <w:tmpl w:val="A9CA5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4679B0"/>
    <w:multiLevelType w:val="hybridMultilevel"/>
    <w:tmpl w:val="5AC24EA8"/>
    <w:lvl w:ilvl="0" w:tplc="0409000F">
      <w:start w:val="1"/>
      <w:numFmt w:val="decimal"/>
      <w:lvlText w:val="%1."/>
      <w:lvlJc w:val="left"/>
      <w:pPr>
        <w:ind w:left="-1440" w:hanging="360"/>
      </w:pPr>
      <w:rPr>
        <w:rFonts w:hint="default"/>
      </w:rPr>
    </w:lvl>
    <w:lvl w:ilvl="1" w:tplc="0409000F">
      <w:start w:val="1"/>
      <w:numFmt w:val="decimal"/>
      <w:lvlText w:val="%2."/>
      <w:lvlJc w:val="left"/>
      <w:pPr>
        <w:ind w:left="-720" w:hanging="360"/>
      </w:pPr>
      <w:rPr>
        <w:rFonts w:hint="default"/>
      </w:rPr>
    </w:lvl>
    <w:lvl w:ilvl="2" w:tplc="04090005">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9">
    <w:nsid w:val="5FE10A54"/>
    <w:multiLevelType w:val="hybridMultilevel"/>
    <w:tmpl w:val="E66E9A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AD477F4"/>
    <w:multiLevelType w:val="hybridMultilevel"/>
    <w:tmpl w:val="C14050D0"/>
    <w:lvl w:ilvl="0" w:tplc="04090001">
      <w:start w:val="1"/>
      <w:numFmt w:val="bullet"/>
      <w:lvlText w:val=""/>
      <w:lvlJc w:val="left"/>
      <w:pPr>
        <w:ind w:left="-60" w:hanging="360"/>
      </w:pPr>
      <w:rPr>
        <w:rFonts w:ascii="Symbol" w:hAnsi="Symbol" w:hint="default"/>
      </w:rPr>
    </w:lvl>
    <w:lvl w:ilvl="1" w:tplc="04090003">
      <w:start w:val="1"/>
      <w:numFmt w:val="bullet"/>
      <w:lvlText w:val="o"/>
      <w:lvlJc w:val="left"/>
      <w:pPr>
        <w:ind w:left="660" w:hanging="360"/>
      </w:pPr>
      <w:rPr>
        <w:rFonts w:ascii="Courier New" w:hAnsi="Courier New" w:hint="default"/>
      </w:rPr>
    </w:lvl>
    <w:lvl w:ilvl="2" w:tplc="04090005">
      <w:start w:val="1"/>
      <w:numFmt w:val="bullet"/>
      <w:lvlText w:val=""/>
      <w:lvlJc w:val="left"/>
      <w:pPr>
        <w:ind w:left="1380" w:hanging="360"/>
      </w:pPr>
      <w:rPr>
        <w:rFonts w:ascii="Wingdings" w:hAnsi="Wingdings" w:hint="default"/>
      </w:rPr>
    </w:lvl>
    <w:lvl w:ilvl="3" w:tplc="04090001" w:tentative="1">
      <w:start w:val="1"/>
      <w:numFmt w:val="bullet"/>
      <w:lvlText w:val=""/>
      <w:lvlJc w:val="left"/>
      <w:pPr>
        <w:ind w:left="2100" w:hanging="360"/>
      </w:pPr>
      <w:rPr>
        <w:rFonts w:ascii="Symbol" w:hAnsi="Symbol" w:hint="default"/>
      </w:rPr>
    </w:lvl>
    <w:lvl w:ilvl="4" w:tplc="04090003" w:tentative="1">
      <w:start w:val="1"/>
      <w:numFmt w:val="bullet"/>
      <w:lvlText w:val="o"/>
      <w:lvlJc w:val="left"/>
      <w:pPr>
        <w:ind w:left="2820" w:hanging="360"/>
      </w:pPr>
      <w:rPr>
        <w:rFonts w:ascii="Courier New" w:hAnsi="Courier New" w:hint="default"/>
      </w:rPr>
    </w:lvl>
    <w:lvl w:ilvl="5" w:tplc="04090005" w:tentative="1">
      <w:start w:val="1"/>
      <w:numFmt w:val="bullet"/>
      <w:lvlText w:val=""/>
      <w:lvlJc w:val="left"/>
      <w:pPr>
        <w:ind w:left="3540" w:hanging="360"/>
      </w:pPr>
      <w:rPr>
        <w:rFonts w:ascii="Wingdings" w:hAnsi="Wingdings" w:hint="default"/>
      </w:rPr>
    </w:lvl>
    <w:lvl w:ilvl="6" w:tplc="04090001" w:tentative="1">
      <w:start w:val="1"/>
      <w:numFmt w:val="bullet"/>
      <w:lvlText w:val=""/>
      <w:lvlJc w:val="left"/>
      <w:pPr>
        <w:ind w:left="4260" w:hanging="360"/>
      </w:pPr>
      <w:rPr>
        <w:rFonts w:ascii="Symbol" w:hAnsi="Symbol" w:hint="default"/>
      </w:rPr>
    </w:lvl>
    <w:lvl w:ilvl="7" w:tplc="04090003" w:tentative="1">
      <w:start w:val="1"/>
      <w:numFmt w:val="bullet"/>
      <w:lvlText w:val="o"/>
      <w:lvlJc w:val="left"/>
      <w:pPr>
        <w:ind w:left="4980" w:hanging="360"/>
      </w:pPr>
      <w:rPr>
        <w:rFonts w:ascii="Courier New" w:hAnsi="Courier New" w:hint="default"/>
      </w:rPr>
    </w:lvl>
    <w:lvl w:ilvl="8" w:tplc="04090005" w:tentative="1">
      <w:start w:val="1"/>
      <w:numFmt w:val="bullet"/>
      <w:lvlText w:val=""/>
      <w:lvlJc w:val="left"/>
      <w:pPr>
        <w:ind w:left="5700" w:hanging="360"/>
      </w:pPr>
      <w:rPr>
        <w:rFonts w:ascii="Wingdings" w:hAnsi="Wingdings" w:hint="default"/>
      </w:rPr>
    </w:lvl>
  </w:abstractNum>
  <w:abstractNum w:abstractNumId="31">
    <w:nsid w:val="7CEA006D"/>
    <w:multiLevelType w:val="hybridMultilevel"/>
    <w:tmpl w:val="03FC13F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12"/>
  </w:num>
  <w:num w:numId="3">
    <w:abstractNumId w:val="17"/>
  </w:num>
  <w:num w:numId="4">
    <w:abstractNumId w:val="4"/>
  </w:num>
  <w:num w:numId="5">
    <w:abstractNumId w:val="28"/>
  </w:num>
  <w:num w:numId="6">
    <w:abstractNumId w:val="15"/>
  </w:num>
  <w:num w:numId="7">
    <w:abstractNumId w:val="18"/>
  </w:num>
  <w:num w:numId="8">
    <w:abstractNumId w:val="5"/>
  </w:num>
  <w:num w:numId="9">
    <w:abstractNumId w:val="13"/>
  </w:num>
  <w:num w:numId="10">
    <w:abstractNumId w:val="10"/>
  </w:num>
  <w:num w:numId="11">
    <w:abstractNumId w:val="16"/>
  </w:num>
  <w:num w:numId="12">
    <w:abstractNumId w:val="11"/>
  </w:num>
  <w:num w:numId="13">
    <w:abstractNumId w:val="31"/>
  </w:num>
  <w:num w:numId="14">
    <w:abstractNumId w:val="21"/>
  </w:num>
  <w:num w:numId="15">
    <w:abstractNumId w:val="6"/>
  </w:num>
  <w:num w:numId="16">
    <w:abstractNumId w:val="29"/>
  </w:num>
  <w:num w:numId="17">
    <w:abstractNumId w:val="27"/>
  </w:num>
  <w:num w:numId="18">
    <w:abstractNumId w:val="22"/>
  </w:num>
  <w:num w:numId="19">
    <w:abstractNumId w:val="9"/>
  </w:num>
  <w:num w:numId="20">
    <w:abstractNumId w:val="20"/>
  </w:num>
  <w:num w:numId="21">
    <w:abstractNumId w:val="26"/>
  </w:num>
  <w:num w:numId="22">
    <w:abstractNumId w:val="8"/>
  </w:num>
  <w:num w:numId="23">
    <w:abstractNumId w:val="7"/>
  </w:num>
  <w:num w:numId="24">
    <w:abstractNumId w:val="19"/>
  </w:num>
  <w:num w:numId="25">
    <w:abstractNumId w:val="0"/>
  </w:num>
  <w:num w:numId="26">
    <w:abstractNumId w:val="1"/>
  </w:num>
  <w:num w:numId="27">
    <w:abstractNumId w:val="2"/>
  </w:num>
  <w:num w:numId="28">
    <w:abstractNumId w:val="3"/>
  </w:num>
  <w:num w:numId="29">
    <w:abstractNumId w:val="30"/>
  </w:num>
  <w:num w:numId="30">
    <w:abstractNumId w:val="14"/>
  </w:num>
  <w:num w:numId="31">
    <w:abstractNumId w:val="2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A19"/>
    <w:rsid w:val="000538A6"/>
    <w:rsid w:val="0009634E"/>
    <w:rsid w:val="000E0087"/>
    <w:rsid w:val="003B359B"/>
    <w:rsid w:val="00405AA6"/>
    <w:rsid w:val="004A6DE1"/>
    <w:rsid w:val="005771DF"/>
    <w:rsid w:val="005F6830"/>
    <w:rsid w:val="0066233E"/>
    <w:rsid w:val="006D0930"/>
    <w:rsid w:val="006E32E2"/>
    <w:rsid w:val="00897FDD"/>
    <w:rsid w:val="00952A18"/>
    <w:rsid w:val="0098202F"/>
    <w:rsid w:val="00AE3AC4"/>
    <w:rsid w:val="00AF125E"/>
    <w:rsid w:val="00B76829"/>
    <w:rsid w:val="00BF3927"/>
    <w:rsid w:val="00CF321B"/>
    <w:rsid w:val="00D655FE"/>
    <w:rsid w:val="00D81F2A"/>
    <w:rsid w:val="00DA011E"/>
    <w:rsid w:val="00DE573B"/>
    <w:rsid w:val="00E77A19"/>
    <w:rsid w:val="00EB5C8A"/>
    <w:rsid w:val="00F11227"/>
    <w:rsid w:val="00F82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5CE6"/>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rsid w:val="007A5D92"/>
    <w:pPr>
      <w:spacing w:before="220" w:after="220" w:line="220" w:lineRule="atLeast"/>
    </w:pPr>
    <w:rPr>
      <w:rFonts w:eastAsia="Times New Roman"/>
      <w:spacing w:val="-5"/>
      <w:sz w:val="20"/>
    </w:rPr>
  </w:style>
  <w:style w:type="paragraph" w:styleId="BodyText">
    <w:name w:val="Body Text"/>
    <w:basedOn w:val="Normal"/>
    <w:rsid w:val="007A5D92"/>
    <w:pPr>
      <w:spacing w:after="220" w:line="220" w:lineRule="atLeast"/>
      <w:jc w:val="both"/>
    </w:pPr>
    <w:rPr>
      <w:rFonts w:eastAsia="Times New Roman"/>
      <w:spacing w:val="-5"/>
      <w:sz w:val="20"/>
    </w:rPr>
  </w:style>
  <w:style w:type="paragraph" w:styleId="Closing">
    <w:name w:val="Closing"/>
    <w:basedOn w:val="Normal"/>
    <w:next w:val="Signature"/>
    <w:rsid w:val="007A5D92"/>
    <w:pPr>
      <w:keepNext/>
      <w:spacing w:after="60" w:line="220" w:lineRule="atLeast"/>
      <w:jc w:val="both"/>
    </w:pPr>
    <w:rPr>
      <w:rFonts w:eastAsia="Times New Roman"/>
      <w:spacing w:val="-5"/>
      <w:sz w:val="20"/>
    </w:rPr>
  </w:style>
  <w:style w:type="paragraph" w:styleId="Signature">
    <w:name w:val="Signature"/>
    <w:basedOn w:val="Normal"/>
    <w:next w:val="SignatureJobTitle"/>
    <w:rsid w:val="007A5D92"/>
    <w:pPr>
      <w:keepNext/>
      <w:spacing w:before="880" w:line="220" w:lineRule="atLeast"/>
    </w:pPr>
    <w:rPr>
      <w:rFonts w:eastAsia="Times New Roman"/>
      <w:spacing w:val="-5"/>
      <w:sz w:val="20"/>
    </w:rPr>
  </w:style>
  <w:style w:type="paragraph" w:styleId="Date">
    <w:name w:val="Date"/>
    <w:basedOn w:val="Normal"/>
    <w:next w:val="InsideAddressName"/>
    <w:rsid w:val="007A5D92"/>
    <w:pPr>
      <w:spacing w:after="220" w:line="220" w:lineRule="atLeast"/>
      <w:jc w:val="both"/>
    </w:pPr>
    <w:rPr>
      <w:rFonts w:eastAsia="Times New Roman"/>
      <w:spacing w:val="-5"/>
      <w:sz w:val="20"/>
    </w:rPr>
  </w:style>
  <w:style w:type="paragraph" w:customStyle="1" w:styleId="InsideAddressName">
    <w:name w:val="Inside Address Name"/>
    <w:basedOn w:val="Normal"/>
    <w:next w:val="Normal"/>
    <w:rsid w:val="007A5D92"/>
    <w:pPr>
      <w:spacing w:before="220" w:line="220" w:lineRule="atLeast"/>
      <w:jc w:val="both"/>
    </w:pPr>
    <w:rPr>
      <w:rFonts w:eastAsia="Times New Roman"/>
      <w:spacing w:val="-5"/>
      <w:sz w:val="20"/>
    </w:rPr>
  </w:style>
  <w:style w:type="paragraph" w:customStyle="1" w:styleId="SignatureJobTitle">
    <w:name w:val="Signature Job Title"/>
    <w:basedOn w:val="Signature"/>
    <w:next w:val="Normal"/>
    <w:rsid w:val="007A5D92"/>
    <w:pPr>
      <w:spacing w:before="0"/>
    </w:pPr>
  </w:style>
  <w:style w:type="paragraph" w:styleId="Header">
    <w:name w:val="header"/>
    <w:basedOn w:val="Normal"/>
    <w:rsid w:val="00505CE6"/>
    <w:pPr>
      <w:tabs>
        <w:tab w:val="center" w:pos="4536"/>
        <w:tab w:val="right" w:pos="9072"/>
      </w:tabs>
    </w:pPr>
  </w:style>
  <w:style w:type="paragraph" w:styleId="Footer">
    <w:name w:val="footer"/>
    <w:basedOn w:val="Normal"/>
    <w:semiHidden/>
    <w:rsid w:val="00505CE6"/>
    <w:pPr>
      <w:tabs>
        <w:tab w:val="center" w:pos="4536"/>
        <w:tab w:val="right" w:pos="9072"/>
      </w:tabs>
    </w:pPr>
  </w:style>
  <w:style w:type="paragraph" w:styleId="BalloonText">
    <w:name w:val="Balloon Text"/>
    <w:basedOn w:val="Normal"/>
    <w:link w:val="BalloonTextChar"/>
    <w:rsid w:val="00897FDD"/>
    <w:rPr>
      <w:rFonts w:ascii="Tahoma" w:hAnsi="Tahoma" w:cs="Tahoma"/>
      <w:sz w:val="16"/>
      <w:szCs w:val="16"/>
    </w:rPr>
  </w:style>
  <w:style w:type="character" w:customStyle="1" w:styleId="BalloonTextChar">
    <w:name w:val="Balloon Text Char"/>
    <w:link w:val="BalloonText"/>
    <w:rsid w:val="00897FDD"/>
    <w:rPr>
      <w:rFonts w:ascii="Tahoma" w:hAnsi="Tahoma" w:cs="Tahoma"/>
      <w:sz w:val="16"/>
      <w:szCs w:val="16"/>
    </w:rPr>
  </w:style>
  <w:style w:type="paragraph" w:styleId="ListParagraph">
    <w:name w:val="List Paragraph"/>
    <w:basedOn w:val="Normal"/>
    <w:uiPriority w:val="34"/>
    <w:qFormat/>
    <w:rsid w:val="00E77A19"/>
    <w:pPr>
      <w:widowControl w:val="0"/>
      <w:suppressAutoHyphens/>
      <w:autoSpaceDE w:val="0"/>
      <w:autoSpaceDN w:val="0"/>
      <w:adjustRightInd w:val="0"/>
      <w:spacing w:after="180" w:line="276" w:lineRule="auto"/>
      <w:ind w:left="720"/>
      <w:contextualSpacing/>
      <w:textAlignment w:val="center"/>
    </w:pPr>
    <w:rPr>
      <w:rFonts w:eastAsiaTheme="minorEastAsia" w:cs="Arial"/>
      <w:color w:val="7F7F7F" w:themeColor="text1" w:themeTint="80"/>
      <w:spacing w:val="-2"/>
      <w:sz w:val="20"/>
    </w:rPr>
  </w:style>
  <w:style w:type="paragraph" w:customStyle="1" w:styleId="Default">
    <w:name w:val="Default"/>
    <w:basedOn w:val="Normal"/>
    <w:rsid w:val="00B76829"/>
    <w:pPr>
      <w:autoSpaceDE w:val="0"/>
      <w:autoSpaceDN w:val="0"/>
    </w:pPr>
    <w:rPr>
      <w:rFonts w:ascii="Cambria" w:eastAsiaTheme="minorHAnsi" w:hAnsi="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5CE6"/>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rsid w:val="007A5D92"/>
    <w:pPr>
      <w:spacing w:before="220" w:after="220" w:line="220" w:lineRule="atLeast"/>
    </w:pPr>
    <w:rPr>
      <w:rFonts w:eastAsia="Times New Roman"/>
      <w:spacing w:val="-5"/>
      <w:sz w:val="20"/>
    </w:rPr>
  </w:style>
  <w:style w:type="paragraph" w:styleId="BodyText">
    <w:name w:val="Body Text"/>
    <w:basedOn w:val="Normal"/>
    <w:rsid w:val="007A5D92"/>
    <w:pPr>
      <w:spacing w:after="220" w:line="220" w:lineRule="atLeast"/>
      <w:jc w:val="both"/>
    </w:pPr>
    <w:rPr>
      <w:rFonts w:eastAsia="Times New Roman"/>
      <w:spacing w:val="-5"/>
      <w:sz w:val="20"/>
    </w:rPr>
  </w:style>
  <w:style w:type="paragraph" w:styleId="Closing">
    <w:name w:val="Closing"/>
    <w:basedOn w:val="Normal"/>
    <w:next w:val="Signature"/>
    <w:rsid w:val="007A5D92"/>
    <w:pPr>
      <w:keepNext/>
      <w:spacing w:after="60" w:line="220" w:lineRule="atLeast"/>
      <w:jc w:val="both"/>
    </w:pPr>
    <w:rPr>
      <w:rFonts w:eastAsia="Times New Roman"/>
      <w:spacing w:val="-5"/>
      <w:sz w:val="20"/>
    </w:rPr>
  </w:style>
  <w:style w:type="paragraph" w:styleId="Signature">
    <w:name w:val="Signature"/>
    <w:basedOn w:val="Normal"/>
    <w:next w:val="SignatureJobTitle"/>
    <w:rsid w:val="007A5D92"/>
    <w:pPr>
      <w:keepNext/>
      <w:spacing w:before="880" w:line="220" w:lineRule="atLeast"/>
    </w:pPr>
    <w:rPr>
      <w:rFonts w:eastAsia="Times New Roman"/>
      <w:spacing w:val="-5"/>
      <w:sz w:val="20"/>
    </w:rPr>
  </w:style>
  <w:style w:type="paragraph" w:styleId="Date">
    <w:name w:val="Date"/>
    <w:basedOn w:val="Normal"/>
    <w:next w:val="InsideAddressName"/>
    <w:rsid w:val="007A5D92"/>
    <w:pPr>
      <w:spacing w:after="220" w:line="220" w:lineRule="atLeast"/>
      <w:jc w:val="both"/>
    </w:pPr>
    <w:rPr>
      <w:rFonts w:eastAsia="Times New Roman"/>
      <w:spacing w:val="-5"/>
      <w:sz w:val="20"/>
    </w:rPr>
  </w:style>
  <w:style w:type="paragraph" w:customStyle="1" w:styleId="InsideAddressName">
    <w:name w:val="Inside Address Name"/>
    <w:basedOn w:val="Normal"/>
    <w:next w:val="Normal"/>
    <w:rsid w:val="007A5D92"/>
    <w:pPr>
      <w:spacing w:before="220" w:line="220" w:lineRule="atLeast"/>
      <w:jc w:val="both"/>
    </w:pPr>
    <w:rPr>
      <w:rFonts w:eastAsia="Times New Roman"/>
      <w:spacing w:val="-5"/>
      <w:sz w:val="20"/>
    </w:rPr>
  </w:style>
  <w:style w:type="paragraph" w:customStyle="1" w:styleId="SignatureJobTitle">
    <w:name w:val="Signature Job Title"/>
    <w:basedOn w:val="Signature"/>
    <w:next w:val="Normal"/>
    <w:rsid w:val="007A5D92"/>
    <w:pPr>
      <w:spacing w:before="0"/>
    </w:pPr>
  </w:style>
  <w:style w:type="paragraph" w:styleId="Header">
    <w:name w:val="header"/>
    <w:basedOn w:val="Normal"/>
    <w:rsid w:val="00505CE6"/>
    <w:pPr>
      <w:tabs>
        <w:tab w:val="center" w:pos="4536"/>
        <w:tab w:val="right" w:pos="9072"/>
      </w:tabs>
    </w:pPr>
  </w:style>
  <w:style w:type="paragraph" w:styleId="Footer">
    <w:name w:val="footer"/>
    <w:basedOn w:val="Normal"/>
    <w:semiHidden/>
    <w:rsid w:val="00505CE6"/>
    <w:pPr>
      <w:tabs>
        <w:tab w:val="center" w:pos="4536"/>
        <w:tab w:val="right" w:pos="9072"/>
      </w:tabs>
    </w:pPr>
  </w:style>
  <w:style w:type="paragraph" w:styleId="BalloonText">
    <w:name w:val="Balloon Text"/>
    <w:basedOn w:val="Normal"/>
    <w:link w:val="BalloonTextChar"/>
    <w:rsid w:val="00897FDD"/>
    <w:rPr>
      <w:rFonts w:ascii="Tahoma" w:hAnsi="Tahoma" w:cs="Tahoma"/>
      <w:sz w:val="16"/>
      <w:szCs w:val="16"/>
    </w:rPr>
  </w:style>
  <w:style w:type="character" w:customStyle="1" w:styleId="BalloonTextChar">
    <w:name w:val="Balloon Text Char"/>
    <w:link w:val="BalloonText"/>
    <w:rsid w:val="00897FDD"/>
    <w:rPr>
      <w:rFonts w:ascii="Tahoma" w:hAnsi="Tahoma" w:cs="Tahoma"/>
      <w:sz w:val="16"/>
      <w:szCs w:val="16"/>
    </w:rPr>
  </w:style>
  <w:style w:type="paragraph" w:styleId="ListParagraph">
    <w:name w:val="List Paragraph"/>
    <w:basedOn w:val="Normal"/>
    <w:uiPriority w:val="34"/>
    <w:qFormat/>
    <w:rsid w:val="00E77A19"/>
    <w:pPr>
      <w:widowControl w:val="0"/>
      <w:suppressAutoHyphens/>
      <w:autoSpaceDE w:val="0"/>
      <w:autoSpaceDN w:val="0"/>
      <w:adjustRightInd w:val="0"/>
      <w:spacing w:after="180" w:line="276" w:lineRule="auto"/>
      <w:ind w:left="720"/>
      <w:contextualSpacing/>
      <w:textAlignment w:val="center"/>
    </w:pPr>
    <w:rPr>
      <w:rFonts w:eastAsiaTheme="minorEastAsia" w:cs="Arial"/>
      <w:color w:val="7F7F7F" w:themeColor="text1" w:themeTint="80"/>
      <w:spacing w:val="-2"/>
      <w:sz w:val="20"/>
    </w:rPr>
  </w:style>
  <w:style w:type="paragraph" w:customStyle="1" w:styleId="Default">
    <w:name w:val="Default"/>
    <w:basedOn w:val="Normal"/>
    <w:rsid w:val="00B76829"/>
    <w:pPr>
      <w:autoSpaceDE w:val="0"/>
      <w:autoSpaceDN w:val="0"/>
    </w:pPr>
    <w:rPr>
      <w:rFonts w:ascii="Cambria" w:eastAsiaTheme="minorHAnsi" w:hAnsi="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ziocomf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K:\Medical%20Marketing\Marketing%20Services\Teleflex%20Branding\Stationery%20templates\Corporate%20Stationery\Current%20Word%20Templates\Teleflex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Teleflex_letterhead</Template>
  <TotalTime>0</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Teleflex</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Gorman</dc:creator>
  <cp:lastModifiedBy>Hust, Karen</cp:lastModifiedBy>
  <cp:revision>2</cp:revision>
  <cp:lastPrinted>2010-03-01T14:12:00Z</cp:lastPrinted>
  <dcterms:created xsi:type="dcterms:W3CDTF">2015-02-01T00:37:00Z</dcterms:created>
  <dcterms:modified xsi:type="dcterms:W3CDTF">2015-02-01T00:37:00Z</dcterms:modified>
</cp:coreProperties>
</file>